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ED" w:rsidRPr="00B379FB" w:rsidRDefault="00B379FB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ANEXO</w:t>
      </w:r>
      <w:r w:rsidR="00D129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5946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No causar perjuicio significativo a los seis objetivos medioambientales.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9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EL DECLARANTE</w:t>
      </w:r>
    </w:p>
    <w:tbl>
      <w:tblPr>
        <w:tblW w:w="875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680"/>
      </w:tblGrid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Don/Doña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9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B379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>en calidad de</w:t>
            </w:r>
            <w:r w:rsidR="00B379F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NIF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en representación de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3ED" w:rsidRPr="00B379FB" w:rsidTr="00ED275B">
        <w:trPr>
          <w:trHeight w:val="120"/>
        </w:trPr>
        <w:tc>
          <w:tcPr>
            <w:tcW w:w="2075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9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NIF </w:t>
            </w:r>
          </w:p>
        </w:tc>
        <w:tc>
          <w:tcPr>
            <w:tcW w:w="6680" w:type="dxa"/>
            <w:tcBorders>
              <w:top w:val="none" w:sz="6" w:space="0" w:color="auto"/>
              <w:bottom w:val="none" w:sz="6" w:space="0" w:color="auto"/>
            </w:tcBorders>
          </w:tcPr>
          <w:p w:rsidR="005343ED" w:rsidRPr="00B379FB" w:rsidRDefault="005343ED" w:rsidP="00ED27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43ED" w:rsidRPr="00B379FB" w:rsidRDefault="005343ED" w:rsidP="005343ED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379FB">
        <w:rPr>
          <w:rFonts w:ascii="Arial" w:hAnsi="Arial" w:cs="Arial"/>
          <w:b/>
          <w:bCs/>
          <w:sz w:val="20"/>
          <w:szCs w:val="20"/>
        </w:rPr>
        <w:t>DECLARA BAJO SU RESPONSABILIDAD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 xml:space="preserve">NO CAUSA UN PERJUICIO SIGNIFICATIVO A LOS SEIS OBJETIVOS MEDIOAMBIENTALES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del artículo 17 del Reglamento (UE) 2020/8522, que se enumeran a continuación: </w:t>
      </w:r>
    </w:p>
    <w:p w:rsidR="005343ED" w:rsidRPr="00B379FB" w:rsidRDefault="005343ED" w:rsidP="005343ED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Mitigación del cambio climático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mitigación del cambio climático si da lugar a considerables emisiones de gases de efecto invernadero (GEI).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Adaptación al cambio climático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Uso sostenible y protección de los recursos hídricos y marinos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Economía circular, incluidos la prevención y el reciclado de residuos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aumento significativo de la generación de residuos, el tratamiento mecánico-biológico, incineración o depósito en vertedero de residuos; o si la eliminación de residuos a largo plazo puede causar un perjuicio significativo y a largo plazo para el medio ambiente.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Prevención y control de la contaminación a la atmósfera, el agua o el suelo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BD407B" w:rsidRPr="00B379FB" w:rsidRDefault="00BD407B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f)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Protección y restauración de la biodiversidad y los ecosistemas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</w:t>
      </w:r>
      <w:r w:rsidR="00BD407B">
        <w:rPr>
          <w:rFonts w:ascii="Arial" w:hAnsi="Arial" w:cs="Arial"/>
          <w:color w:val="000000"/>
          <w:sz w:val="20"/>
          <w:szCs w:val="20"/>
        </w:rPr>
        <w:t>e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n particular de aquellos de interés para la Unión.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B3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b/>
          <w:color w:val="000000"/>
          <w:sz w:val="20"/>
          <w:szCs w:val="20"/>
        </w:rPr>
        <w:t>2.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 xml:space="preserve">LA ENTIDAD SOLICITANTE NO DESARROLLA ACTIVIDADES EXCLUIDAS 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según lo indicado por la Guía técnica sobre la aplicación del principio de «no causar un perjuicio significativo» en virtud del Reglamento relativo al Mecanismo de Recuperación y Resiliencia.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Las actividades excluidas son: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Refinerías de petróleo 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Centrales térmicas de carbón y extracción de combustibles fósiles 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>Generación de electricidad y/o calor utilizando combustibles fósiles y relacionados con su infraestructura de transporte y distribución.</w:t>
      </w:r>
    </w:p>
    <w:p w:rsidR="005343ED" w:rsidRPr="00B379FB" w:rsidRDefault="005343ED" w:rsidP="005343ED">
      <w:pPr>
        <w:autoSpaceDE w:val="0"/>
        <w:autoSpaceDN w:val="0"/>
        <w:adjustRightInd w:val="0"/>
        <w:spacing w:after="97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Eliminación de desechos (por ejemplo, nucleares, que puedan causar daños a largo plazo al medioambiente).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5343ED" w:rsidRPr="00B379FB" w:rsidRDefault="005343ED" w:rsidP="005343E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B379FB">
        <w:rPr>
          <w:rFonts w:ascii="Arial" w:hAnsi="Arial" w:cs="Arial"/>
          <w:iCs/>
          <w:color w:val="000000"/>
          <w:sz w:val="20"/>
          <w:szCs w:val="20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b/>
          <w:bCs/>
          <w:color w:val="000000"/>
          <w:sz w:val="20"/>
          <w:szCs w:val="20"/>
        </w:rPr>
        <w:t>3. LA ENTIDAD SOLICITANTE NO PREVÉ EFECTOS DIRECTOS DEL PROYECTO O ACTIVIDAD SOBRE EL MEDIOAMBIENTE, NI EFECTOS INDIRECTOS PRIMARIOS</w:t>
      </w:r>
      <w:r w:rsidRPr="00B379FB">
        <w:rPr>
          <w:rFonts w:ascii="Arial" w:hAnsi="Arial" w:cs="Arial"/>
          <w:color w:val="000000"/>
          <w:sz w:val="20"/>
          <w:szCs w:val="20"/>
        </w:rPr>
        <w:t xml:space="preserve">, entendiendo como tales aquéllos que pudieran materializarse tras su finalización, una vez realizado el proyecto o actividad. 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El incumplimiento de alguno de los requisitos establecido en la presente declaración dará, previo el oportuno procedimiento de reintegro, a la obligación de devolver las ayudas percibidas y los intereses de demora correspondientes. </w:t>
      </w:r>
    </w:p>
    <w:p w:rsidR="005343ED" w:rsidRDefault="00027E75" w:rsidP="005343ED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027E75">
        <w:rPr>
          <w:rFonts w:ascii="Arial" w:eastAsiaTheme="minorHAnsi" w:hAnsi="Arial" w:cs="Arial"/>
          <w:bCs/>
          <w:color w:val="000000"/>
          <w:lang w:eastAsia="en-US"/>
        </w:rPr>
        <w:t>(Firmado electrónicamente)</w:t>
      </w:r>
    </w:p>
    <w:p w:rsidR="00027E75" w:rsidRPr="00027E75" w:rsidRDefault="00027E75" w:rsidP="00027E75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 w:line="360" w:lineRule="auto"/>
        <w:ind w:left="0" w:firstLine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____________________________________________________________</w:t>
      </w:r>
    </w:p>
    <w:p w:rsidR="005343ED" w:rsidRPr="00B379FB" w:rsidRDefault="005343ED" w:rsidP="005343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B379FB">
        <w:rPr>
          <w:rFonts w:ascii="Arial" w:hAnsi="Arial" w:cs="Arial"/>
          <w:color w:val="000000"/>
          <w:sz w:val="20"/>
          <w:szCs w:val="20"/>
        </w:rPr>
        <w:t xml:space="preserve">1 Representante legal, cargo que ostente dentro de la entidad solicitante. </w:t>
      </w:r>
    </w:p>
    <w:p w:rsidR="005343ED" w:rsidRPr="00B379FB" w:rsidRDefault="005343ED" w:rsidP="00BD407B">
      <w:pPr>
        <w:pStyle w:val="Textoindependiente"/>
        <w:shd w:val="clear" w:color="auto" w:fill="FFFFFF" w:themeFill="background1"/>
        <w:tabs>
          <w:tab w:val="left" w:pos="284"/>
        </w:tabs>
        <w:kinsoku w:val="0"/>
        <w:overflowPunct w:val="0"/>
        <w:spacing w:before="120" w:after="120"/>
        <w:ind w:left="0" w:firstLine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638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 Reglamento (UE) 2020/852 del Parlamento Europeo y del Consejo de 18 de junio de 2020 relativo al establecimiento de un marco para facilitar las inversiones sostenibles y por el que se modifica el Reglamento (UE) 2019/2088.</w:t>
      </w:r>
      <w:r w:rsidRPr="00B379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</w:p>
    <w:p w:rsidR="000A180F" w:rsidRPr="00B379FB" w:rsidRDefault="000A180F" w:rsidP="005343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0A180F" w:rsidRPr="00B379FB" w:rsidSect="00153264">
      <w:headerReference w:type="default" r:id="rId8"/>
      <w:pgSz w:w="11906" w:h="16838"/>
      <w:pgMar w:top="1185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7E" w:rsidRDefault="0024397E" w:rsidP="0024397E">
      <w:pPr>
        <w:spacing w:after="0"/>
      </w:pPr>
      <w:r>
        <w:separator/>
      </w:r>
    </w:p>
  </w:endnote>
  <w:endnote w:type="continuationSeparator" w:id="0">
    <w:p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7E" w:rsidRDefault="0024397E" w:rsidP="0024397E">
      <w:pPr>
        <w:spacing w:after="0"/>
      </w:pPr>
      <w:r>
        <w:separator/>
      </w:r>
    </w:p>
  </w:footnote>
  <w:footnote w:type="continuationSeparator" w:id="0">
    <w:p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E" w:rsidRDefault="008D5946" w:rsidP="005924F9">
    <w:pPr>
      <w:tabs>
        <w:tab w:val="right" w:pos="9540"/>
      </w:tabs>
      <w:rPr>
        <w:sz w:val="8"/>
        <w:szCs w:val="8"/>
      </w:rPr>
    </w:pPr>
    <w:r>
      <w:rPr>
        <w:noProof/>
        <w:sz w:val="8"/>
        <w:szCs w:val="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5260208</wp:posOffset>
          </wp:positionH>
          <wp:positionV relativeFrom="paragraph">
            <wp:posOffset>-302560</wp:posOffset>
          </wp:positionV>
          <wp:extent cx="682625" cy="567055"/>
          <wp:effectExtent l="0" t="0" r="3175" b="4445"/>
          <wp:wrapTight wrapText="bothSides">
            <wp:wrapPolygon edited="0">
              <wp:start x="0" y="0"/>
              <wp:lineTo x="0" y="21044"/>
              <wp:lineTo x="21098" y="21044"/>
              <wp:lineTo x="2109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9BFAB4" wp14:editId="10ED938D">
          <wp:simplePos x="0" y="0"/>
          <wp:positionH relativeFrom="column">
            <wp:posOffset>-923026</wp:posOffset>
          </wp:positionH>
          <wp:positionV relativeFrom="paragraph">
            <wp:posOffset>-311186</wp:posOffset>
          </wp:positionV>
          <wp:extent cx="6010910" cy="627380"/>
          <wp:effectExtent l="0" t="0" r="8890" b="1270"/>
          <wp:wrapNone/>
          <wp:docPr id="33" name="Imagen 33" descr="Plantilla Next Generation UNA LÍNEA - MEYFP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 Next Generation UNA LÍNEA - MEYFP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35468" r="6410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BE" w:rsidRPr="00AE076D" w:rsidRDefault="00F717BE" w:rsidP="005924F9">
    <w:pPr>
      <w:tabs>
        <w:tab w:val="right" w:pos="954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B11EB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27E75"/>
    <w:rsid w:val="0008704E"/>
    <w:rsid w:val="000A180F"/>
    <w:rsid w:val="00153264"/>
    <w:rsid w:val="0017683C"/>
    <w:rsid w:val="00231BD1"/>
    <w:rsid w:val="0024397E"/>
    <w:rsid w:val="002C18A1"/>
    <w:rsid w:val="002E3B52"/>
    <w:rsid w:val="003179CD"/>
    <w:rsid w:val="003260E0"/>
    <w:rsid w:val="00377F1F"/>
    <w:rsid w:val="003C2641"/>
    <w:rsid w:val="00425CF8"/>
    <w:rsid w:val="004D4098"/>
    <w:rsid w:val="004E6325"/>
    <w:rsid w:val="00525E45"/>
    <w:rsid w:val="005343ED"/>
    <w:rsid w:val="005638F8"/>
    <w:rsid w:val="005924F9"/>
    <w:rsid w:val="005A6228"/>
    <w:rsid w:val="005C2955"/>
    <w:rsid w:val="00625E34"/>
    <w:rsid w:val="0062666C"/>
    <w:rsid w:val="00673EB8"/>
    <w:rsid w:val="006A4B50"/>
    <w:rsid w:val="0080474F"/>
    <w:rsid w:val="00813E65"/>
    <w:rsid w:val="0086163A"/>
    <w:rsid w:val="008876D7"/>
    <w:rsid w:val="008D5946"/>
    <w:rsid w:val="009005DD"/>
    <w:rsid w:val="009D534F"/>
    <w:rsid w:val="00A4633F"/>
    <w:rsid w:val="00AD5749"/>
    <w:rsid w:val="00AE076D"/>
    <w:rsid w:val="00AF00DC"/>
    <w:rsid w:val="00B379FB"/>
    <w:rsid w:val="00B51893"/>
    <w:rsid w:val="00B65DAF"/>
    <w:rsid w:val="00BD407B"/>
    <w:rsid w:val="00C551EF"/>
    <w:rsid w:val="00C7002F"/>
    <w:rsid w:val="00C75B72"/>
    <w:rsid w:val="00D12905"/>
    <w:rsid w:val="00D252EC"/>
    <w:rsid w:val="00DC05A1"/>
    <w:rsid w:val="00E046FC"/>
    <w:rsid w:val="00E33564"/>
    <w:rsid w:val="00E4093D"/>
    <w:rsid w:val="00E60974"/>
    <w:rsid w:val="00E777CB"/>
    <w:rsid w:val="00ED7F01"/>
    <w:rsid w:val="00F041EE"/>
    <w:rsid w:val="00F04749"/>
    <w:rsid w:val="00F717BE"/>
    <w:rsid w:val="00FE319E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343ED"/>
    <w:pPr>
      <w:widowControl w:val="0"/>
      <w:autoSpaceDE w:val="0"/>
      <w:autoSpaceDN w:val="0"/>
      <w:adjustRightInd w:val="0"/>
      <w:spacing w:before="56" w:after="0"/>
      <w:ind w:left="1547" w:firstLine="396"/>
      <w:jc w:val="left"/>
    </w:pPr>
    <w:rPr>
      <w:rFonts w:ascii="Verdana" w:eastAsiaTheme="minorEastAsia" w:hAnsi="Verdana" w:cs="Verdana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43ED"/>
    <w:rPr>
      <w:rFonts w:ascii="Verdana" w:eastAsiaTheme="minorEastAsia" w:hAnsi="Verdana" w:cs="Verdana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3A8A-AF6B-4AAE-B6B4-7CDC6F00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11</cp:revision>
  <dcterms:created xsi:type="dcterms:W3CDTF">2023-10-18T14:01:00Z</dcterms:created>
  <dcterms:modified xsi:type="dcterms:W3CDTF">2024-03-14T09:32:00Z</dcterms:modified>
</cp:coreProperties>
</file>